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100"/>
      </w:pPr>
      <w:r>
        <w:rPr>
          <w:sz w:val="18"/>
          <w:szCs w:val="18"/>
        </w:rPr>
        <w:t xml:space="preserve"/>
      </w:r>
    </w:p>
    <w:p>
      <w:pPr>
        <w:spacing w:after="100" w:before="100"/>
      </w:pPr>
      <w:r>
        <w:rPr>
          <w:sz w:val="18"/>
          <w:szCs w:val="18"/>
        </w:rPr>
        <w:t xml:space="preserve"/>
      </w:r>
    </w:p>
    <w:p>
      <w:pPr>
        <w:spacing w:after="140" w:before="400"/>
        <w:jc w:val="center"/>
      </w:pPr>
      <w:r>
        <w:rPr>
          <w:rFonts w:ascii="Arial" w:cs="Arial" w:eastAsia="Arial" w:hAnsi="Arial"/>
          <w:b/>
          <w:bCs/>
          <w:color w:val="7B2D00"/>
          <w:sz w:val="62"/>
          <w:szCs w:val="62"/>
        </w:rPr>
        <w:t xml:space="preserve">EXECUTIVE SUMMARY</w:t>
      </w:r>
    </w:p>
    <w:p>
      <w:pPr>
        <w:spacing w:after="80" w:before="80"/>
        <w:jc w:val="center"/>
      </w:pPr>
      <w:r>
        <w:rPr>
          <w:rFonts w:ascii="Arial" w:cs="Arial" w:eastAsia="Arial" w:hAnsi="Arial"/>
          <w:color w:val="C0392B"/>
          <w:sz w:val="34"/>
          <w:szCs w:val="34"/>
        </w:rPr>
        <w:t xml:space="preserve">Diwali Seasonality — Indian Automobile Stocks</w:t>
      </w:r>
    </w:p>
    <w:p>
      <w:pPr>
        <w:spacing w:after="80" w:before="80"/>
        <w:jc w:val="center"/>
      </w:pPr>
      <w:r>
        <w:rPr>
          <w:rFonts w:ascii="Arial" w:cs="Arial" w:eastAsia="Arial" w:hAnsi="Arial"/>
          <w:i/>
          <w:iCs/>
          <w:color w:val="555555"/>
          <w:sz w:val="21"/>
          <w:szCs w:val="21"/>
        </w:rPr>
        <w:t xml:space="preserve">Seasonality Analysis  +  Beta Intelligence  +  Market Evolution  |  2014–2025</w:t>
      </w:r>
    </w:p>
    <w:p>
      <w:pPr>
        <w:spacing w:after="100" w:before="100"/>
      </w:pPr>
      <w:r>
        <w:rPr>
          <w:sz w:val="18"/>
          <w:szCs w:val="18"/>
        </w:rPr>
        <w:t xml:space="preserve"/>
      </w:r>
    </w:p>
    <w:p>
      <w:pPr>
        <w:spacing w:after="80" w:before="60"/>
        <w:jc w:val="center"/>
      </w:pPr>
      <w:r>
        <w:rPr>
          <w:rFonts w:ascii="Arial" w:cs="Arial" w:eastAsia="Arial" w:hAnsi="Arial"/>
          <w:color w:val="777777"/>
          <w:sz w:val="20"/>
          <w:szCs w:val="20"/>
        </w:rPr>
        <w:t xml:space="preserve">Prepared by: Kamal Arora  |  CFA Level II Cleared  |  14 Years — HSBC</w:t>
      </w:r>
    </w:p>
    <w:p>
      <w:pPr>
        <w:pBdr>
          <w:bottom w:val="single" w:color="C0392B" w:sz="4" w:space="1"/>
        </w:pBdr>
        <w:spacing w:after="180" w:before="180"/>
      </w:pPr>
      <w:r>
        <w:rPr>
          <w:sz w:val="4"/>
          <w:szCs w:val="4"/>
        </w:rPr>
        <w:t xml:space="preserve"/>
      </w:r>
    </w:p>
    <w:p>
      <w:pPr>
        <w:spacing w:after="100" w:before="100"/>
      </w:pPr>
      <w:r>
        <w:rPr>
          <w:sz w:val="18"/>
          <w:szCs w:val="18"/>
        </w:rPr>
        <w:t xml:space="preserve"/>
      </w:r>
    </w:p>
    <w:p>
      <w:pPr>
        <w:pStyle w:val="Heading1"/>
        <w:spacing w:after="140" w:before="320"/>
      </w:pPr>
      <w:r>
        <w:rPr>
          <w:rFonts w:ascii="Arial" w:cs="Arial" w:eastAsia="Arial" w:hAnsi="Arial"/>
          <w:b/>
          <w:bCs/>
          <w:color w:val="7B2D00"/>
          <w:sz w:val="38"/>
          <w:szCs w:val="38"/>
        </w:rPr>
        <w:t xml:space="preserve">The Story in One Page</w:t>
      </w:r>
    </w:p>
    <w:p>
      <w:pPr>
        <w:spacing w:after="80" w:before="8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0"/>
          <w:szCs w:val="20"/>
        </w:rPr>
        <w:t xml:space="preserve">Two analyses were conducted on Indian automobile stocks around the Diwali festival window covering 2014 to 2025. Together they tell a story that is the OPPOSITE of the paint sector finding — and that contrast itself is the most important insight.</w:t>
      </w:r>
    </w:p>
    <w:p>
      <w:pPr>
        <w:spacing w:after="100" w:before="100"/>
      </w:pPr>
      <w:r>
        <w:rPr>
          <w:sz w:val="18"/>
          <w:szCs w:val="18"/>
        </w:rPr>
        <w:t xml:space="preserve"/>
      </w:r>
    </w:p>
    <w:p>
      <w:pPr>
        <w:pBdr>
          <w:top w:val="single" w:color="C0392B" w:sz="6" w:space="80"/>
          <w:bottom w:val="single" w:color="C0392B" w:sz="6" w:space="80"/>
          <w:left w:val="single" w:color="C0392B" w:sz="18" w:space="200"/>
          <w:right w:val="single" w:color="C0392B" w:sz="6" w:space="80"/>
        </w:pBdr>
        <w:spacing w:after="100" w:before="100"/>
      </w:pPr>
      <w:r>
        <w:rPr>
          <w:rFonts w:ascii="Arial" w:cs="Arial" w:eastAsia="Arial" w:hAnsi="Arial"/>
          <w:color w:val="7B2D00"/>
          <w:sz w:val="21"/>
          <w:szCs w:val="21"/>
        </w:rPr>
        <w:t xml:space="preserve">Analysis 1: Do auto stocks consistently outperform before Diwali? YES — all 8 stocks statistically significant, Pre-Diwali returns of +5.82% to +9.80% vs Nifty benchmark of +4.28%.</w:t>
      </w:r>
    </w:p>
    <w:p>
      <w:pPr>
        <w:spacing w:after="100" w:before="100"/>
      </w:pPr>
      <w:r>
        <w:rPr>
          <w:sz w:val="18"/>
          <w:szCs w:val="18"/>
        </w:rPr>
        <w:t xml:space="preserve"/>
      </w:r>
    </w:p>
    <w:p>
      <w:pPr>
        <w:pBdr>
          <w:top w:val="single" w:color="C0392B" w:sz="6" w:space="80"/>
          <w:bottom w:val="single" w:color="C0392B" w:sz="6" w:space="80"/>
          <w:left w:val="single" w:color="C0392B" w:sz="18" w:space="200"/>
          <w:right w:val="single" w:color="C0392B" w:sz="6" w:space="80"/>
        </w:pBdr>
        <w:spacing w:after="100" w:before="100"/>
      </w:pPr>
      <w:r>
        <w:rPr>
          <w:rFonts w:ascii="Arial" w:cs="Arial" w:eastAsia="Arial" w:hAnsi="Arial"/>
          <w:color w:val="7B2D00"/>
          <w:sz w:val="21"/>
          <w:szCs w:val="21"/>
        </w:rPr>
        <w:t xml:space="preserve">Analysis 2: Is the market getting smarter about the auto Diwali trade? NO — unlike paint stocks, most auto stocks show RISING Diwali beta slopes. People are still piling in and the trade is intensifying.</w:t>
      </w:r>
    </w:p>
    <w:p>
      <w:pPr>
        <w:spacing w:after="100" w:before="100"/>
      </w:pPr>
      <w:r>
        <w:rPr>
          <w:sz w:val="18"/>
          <w:szCs w:val="18"/>
        </w:rPr>
        <w:t xml:space="preserve"/>
      </w:r>
    </w:p>
    <w:p>
      <w:pPr>
        <w:pBdr>
          <w:top w:val="single" w:color="1D9E75" w:sz="6" w:space="80"/>
          <w:bottom w:val="single" w:color="1D9E75" w:sz="6" w:space="80"/>
          <w:left w:val="single" w:color="1D9E75" w:sz="18" w:space="200"/>
          <w:right w:val="single" w:color="1D9E75" w:sz="6" w:space="80"/>
        </w:pBdr>
        <w:spacing w:after="100" w:before="100"/>
      </w:pPr>
      <w:r>
        <w:rPr>
          <w:rFonts w:ascii="Arial" w:cs="Arial" w:eastAsia="Arial" w:hAnsi="Arial"/>
          <w:color w:val="1A6B3A"/>
          <w:sz w:val="21"/>
          <w:szCs w:val="21"/>
        </w:rPr>
        <w:t xml:space="preserve">The contrast with paint: Paint stocks had their Diwali alpha arbitraged away by 2023-2025. Auto stocks still retain genuine seasonal excess return above Nifty. The Diwali auto trade is still alive.</w:t>
      </w:r>
    </w:p>
    <w:p>
      <w:pPr>
        <w:spacing w:after="100" w:before="100"/>
      </w:pPr>
      <w:r>
        <w:rPr>
          <w:sz w:val="18"/>
          <w:szCs w:val="18"/>
        </w:rPr>
        <w:t xml:space="preserve"/>
      </w:r>
    </w:p>
    <w:p>
      <w:pPr>
        <w:pBdr>
          <w:bottom w:val="single" w:color="C0392B" w:sz="4" w:space="1"/>
        </w:pBdr>
        <w:spacing w:after="180" w:before="180"/>
      </w:pPr>
      <w:r>
        <w:rPr>
          <w:sz w:val="4"/>
          <w:szCs w:val="4"/>
        </w:rPr>
        <w:t xml:space="preserve"/>
      </w:r>
    </w:p>
    <w:p>
      <w:pPr>
        <w:pStyle w:val="Heading1"/>
        <w:spacing w:after="140" w:before="320"/>
      </w:pPr>
      <w:r>
        <w:rPr>
          <w:rFonts w:ascii="Arial" w:cs="Arial" w:eastAsia="Arial" w:hAnsi="Arial"/>
          <w:b/>
          <w:bCs/>
          <w:color w:val="7B2D00"/>
          <w:sz w:val="38"/>
          <w:szCs w:val="38"/>
        </w:rPr>
        <w:t xml:space="preserve">1. Key Numbers at a Glance</w:t>
      </w:r>
    </w:p>
    <w:tbl>
      <w:tblPr>
        <w:tblW w:type="dxa" w:w="105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1400"/>
        <w:gridCol w:w="1400"/>
        <w:gridCol w:w="1400"/>
        <w:gridCol w:w="1400"/>
        <w:gridCol w:w="1500"/>
        <w:gridCol w:w="1660"/>
      </w:tblGrid>
      <w:tr>
        <w:trPr>
          <w:tblHeader/>
        </w:trPr>
        <w:tc>
          <w:tcPr>
            <w:tcW w:type="dxa" w:w="1800"/>
            <w:tcBorders>
              <w:top w:val="single" w:color="7B2D00" w:sz="1"/>
              <w:left w:val="single" w:color="7B2D00" w:sz="1"/>
              <w:bottom w:val="single" w:color="7B2D00" w:sz="1"/>
              <w:right w:val="single" w:color="7B2D00" w:sz="1"/>
            </w:tcBorders>
            <w:shd w:fill="7B2D00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7"/>
                <w:szCs w:val="17"/>
              </w:rPr>
              <w:t xml:space="preserve">Stock</w:t>
            </w:r>
          </w:p>
        </w:tc>
        <w:tc>
          <w:tcPr>
            <w:tcW w:type="dxa" w:w="1400"/>
            <w:tcBorders>
              <w:top w:val="single" w:color="7B2D00" w:sz="1"/>
              <w:left w:val="single" w:color="7B2D00" w:sz="1"/>
              <w:bottom w:val="single" w:color="7B2D00" w:sz="1"/>
              <w:right w:val="single" w:color="7B2D00" w:sz="1"/>
            </w:tcBorders>
            <w:shd w:fill="7B2D00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7"/>
                <w:szCs w:val="17"/>
              </w:rPr>
              <w:t xml:space="preserve">Segment</w:t>
            </w:r>
          </w:p>
        </w:tc>
        <w:tc>
          <w:tcPr>
            <w:tcW w:type="dxa" w:w="1400"/>
            <w:tcBorders>
              <w:top w:val="single" w:color="7B2D00" w:sz="1"/>
              <w:left w:val="single" w:color="7B2D00" w:sz="1"/>
              <w:bottom w:val="single" w:color="7B2D00" w:sz="1"/>
              <w:right w:val="single" w:color="7B2D00" w:sz="1"/>
            </w:tcBorders>
            <w:shd w:fill="7B2D00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7"/>
                <w:szCs w:val="17"/>
              </w:rPr>
              <w:t xml:space="preserve">Avg Pre-30d%</w:t>
            </w:r>
          </w:p>
        </w:tc>
        <w:tc>
          <w:tcPr>
            <w:tcW w:type="dxa" w:w="1400"/>
            <w:tcBorders>
              <w:top w:val="single" w:color="7B2D00" w:sz="1"/>
              <w:left w:val="single" w:color="7B2D00" w:sz="1"/>
              <w:bottom w:val="single" w:color="7B2D00" w:sz="1"/>
              <w:right w:val="single" w:color="7B2D00" w:sz="1"/>
            </w:tcBorders>
            <w:shd w:fill="7B2D00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7"/>
                <w:szCs w:val="17"/>
              </w:rPr>
              <w:t xml:space="preserve">t-stat</w:t>
            </w:r>
          </w:p>
        </w:tc>
        <w:tc>
          <w:tcPr>
            <w:tcW w:type="dxa" w:w="1400"/>
            <w:tcBorders>
              <w:top w:val="single" w:color="7B2D00" w:sz="1"/>
              <w:left w:val="single" w:color="7B2D00" w:sz="1"/>
              <w:bottom w:val="single" w:color="7B2D00" w:sz="1"/>
              <w:right w:val="single" w:color="7B2D00" w:sz="1"/>
            </w:tcBorders>
            <w:shd w:fill="7B2D00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7"/>
                <w:szCs w:val="17"/>
              </w:rPr>
              <w:t xml:space="preserve">p-value</w:t>
            </w:r>
          </w:p>
        </w:tc>
        <w:tc>
          <w:tcPr>
            <w:tcW w:type="dxa" w:w="1500"/>
            <w:tcBorders>
              <w:top w:val="single" w:color="7B2D00" w:sz="1"/>
              <w:left w:val="single" w:color="7B2D00" w:sz="1"/>
              <w:bottom w:val="single" w:color="7B2D00" w:sz="1"/>
              <w:right w:val="single" w:color="7B2D00" w:sz="1"/>
            </w:tcBorders>
            <w:shd w:fill="7B2D00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7"/>
                <w:szCs w:val="17"/>
              </w:rPr>
              <w:t xml:space="preserve">Annual β</w:t>
            </w:r>
          </w:p>
        </w:tc>
        <w:tc>
          <w:tcPr>
            <w:tcW w:type="dxa" w:w="1660"/>
            <w:tcBorders>
              <w:top w:val="single" w:color="7B2D00" w:sz="1"/>
              <w:left w:val="single" w:color="7B2D00" w:sz="1"/>
              <w:bottom w:val="single" w:color="7B2D00" w:sz="1"/>
              <w:right w:val="single" w:color="7B2D00" w:sz="1"/>
            </w:tcBorders>
            <w:shd w:fill="7B2D00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7"/>
                <w:szCs w:val="17"/>
              </w:rPr>
              <w:t xml:space="preserve">Diwali β</w:t>
            </w:r>
          </w:p>
        </w:tc>
      </w:tr>
      <w:tr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F9F7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Maruti Suzuki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F9F7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Four Wheeler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F9F7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6B3A"/>
                <w:sz w:val="17"/>
                <w:szCs w:val="17"/>
              </w:rPr>
              <w:t xml:space="preserve">+6.95%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F9F7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3.735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F9F7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6B3A"/>
                <w:sz w:val="17"/>
                <w:szCs w:val="17"/>
              </w:rPr>
              <w:t xml:space="preserve">0.003</w:t>
            </w:r>
          </w:p>
        </w:tc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F9F7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0.976</w:t>
            </w:r>
          </w:p>
        </w:tc>
        <w:tc>
          <w:tcPr>
            <w:tcW w:type="dxa" w:w="16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F9F7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8B0000"/>
                <w:sz w:val="17"/>
                <w:szCs w:val="17"/>
              </w:rPr>
              <w:t xml:space="preserve">1.850</w:t>
            </w:r>
          </w:p>
        </w:tc>
      </w:tr>
      <w:tr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Tata Motors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Four Wheeler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6B3A"/>
                <w:sz w:val="17"/>
                <w:szCs w:val="17"/>
              </w:rPr>
              <w:t xml:space="preserve">+9.21%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3.745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6B3A"/>
                <w:sz w:val="17"/>
                <w:szCs w:val="17"/>
              </w:rPr>
              <w:t xml:space="preserve">0.003</w:t>
            </w:r>
          </w:p>
        </w:tc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2.099</w:t>
            </w:r>
          </w:p>
        </w:tc>
        <w:tc>
          <w:tcPr>
            <w:tcW w:type="dxa" w:w="16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8B0000"/>
                <w:sz w:val="17"/>
                <w:szCs w:val="17"/>
              </w:rPr>
              <w:t xml:space="preserve">2.436</w:t>
            </w:r>
          </w:p>
        </w:tc>
      </w:tr>
      <w:tr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F9F7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M&amp;M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F9F7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Four Wheeler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F9F7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6B3A"/>
                <w:sz w:val="17"/>
                <w:szCs w:val="17"/>
              </w:rPr>
              <w:t xml:space="preserve">+9.66%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F9F7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4.355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F9F7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6B3A"/>
                <w:sz w:val="17"/>
                <w:szCs w:val="17"/>
              </w:rPr>
              <w:t xml:space="preserve">0.001</w:t>
            </w:r>
          </w:p>
        </w:tc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F9F7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0.926</w:t>
            </w:r>
          </w:p>
        </w:tc>
        <w:tc>
          <w:tcPr>
            <w:tcW w:type="dxa" w:w="16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F9F7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8B0000"/>
                <w:sz w:val="17"/>
                <w:szCs w:val="17"/>
              </w:rPr>
              <w:t xml:space="preserve">1.958</w:t>
            </w:r>
          </w:p>
        </w:tc>
      </w:tr>
      <w:tr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Ashok Leyland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Commercial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6B3A"/>
                <w:sz w:val="17"/>
                <w:szCs w:val="17"/>
              </w:rPr>
              <w:t xml:space="preserve">+7.98%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3.343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6B3A"/>
                <w:sz w:val="17"/>
                <w:szCs w:val="17"/>
              </w:rPr>
              <w:t xml:space="preserve">0.007</w:t>
            </w:r>
          </w:p>
        </w:tc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1.440</w:t>
            </w:r>
          </w:p>
        </w:tc>
        <w:tc>
          <w:tcPr>
            <w:tcW w:type="dxa" w:w="16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8B0000"/>
                <w:sz w:val="17"/>
                <w:szCs w:val="17"/>
              </w:rPr>
              <w:t xml:space="preserve">2.405</w:t>
            </w:r>
          </w:p>
        </w:tc>
      </w:tr>
      <w:tr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F9F7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Eicher Motors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F9F7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Two Wheeler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F9F7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6B3A"/>
                <w:sz w:val="17"/>
                <w:szCs w:val="17"/>
              </w:rPr>
              <w:t xml:space="preserve">+9.80%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F9F7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5.398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F9F7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6B3A"/>
                <w:sz w:val="17"/>
                <w:szCs w:val="17"/>
              </w:rPr>
              <w:t xml:space="preserve">0.000</w:t>
            </w:r>
          </w:p>
        </w:tc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F9F7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1.809</w:t>
            </w:r>
          </w:p>
        </w:tc>
        <w:tc>
          <w:tcPr>
            <w:tcW w:type="dxa" w:w="16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F9F7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8B0000"/>
                <w:sz w:val="17"/>
                <w:szCs w:val="17"/>
              </w:rPr>
              <w:t xml:space="preserve">1.549</w:t>
            </w:r>
          </w:p>
        </w:tc>
      </w:tr>
      <w:tr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Hero MotoCorp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Two Wheeler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6B3A"/>
                <w:sz w:val="17"/>
                <w:szCs w:val="17"/>
              </w:rPr>
              <w:t xml:space="preserve">+5.82%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3.742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6B3A"/>
                <w:sz w:val="17"/>
                <w:szCs w:val="17"/>
              </w:rPr>
              <w:t xml:space="preserve">0.003</w:t>
            </w:r>
          </w:p>
        </w:tc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0.627</w:t>
            </w:r>
          </w:p>
        </w:tc>
        <w:tc>
          <w:tcPr>
            <w:tcW w:type="dxa" w:w="16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8B0000"/>
                <w:sz w:val="17"/>
                <w:szCs w:val="17"/>
              </w:rPr>
              <w:t xml:space="preserve">1.562</w:t>
            </w:r>
          </w:p>
        </w:tc>
      </w:tr>
      <w:tr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F9F7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Bajaj Auto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F9F7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Two Wheeler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F9F7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6B3A"/>
                <w:sz w:val="17"/>
                <w:szCs w:val="17"/>
              </w:rPr>
              <w:t xml:space="preserve">+7.42%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F9F7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4.456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F9F7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6B3A"/>
                <w:sz w:val="17"/>
                <w:szCs w:val="17"/>
              </w:rPr>
              <w:t xml:space="preserve">0.001</w:t>
            </w:r>
          </w:p>
        </w:tc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F9F7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0.768</w:t>
            </w:r>
          </w:p>
        </w:tc>
        <w:tc>
          <w:tcPr>
            <w:tcW w:type="dxa" w:w="16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F9F7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8B0000"/>
                <w:sz w:val="17"/>
                <w:szCs w:val="17"/>
              </w:rPr>
              <w:t xml:space="preserve">1.663</w:t>
            </w:r>
          </w:p>
        </w:tc>
      </w:tr>
      <w:tr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TVS Motor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Two Wheeler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6B3A"/>
                <w:sz w:val="17"/>
                <w:szCs w:val="17"/>
              </w:rPr>
              <w:t xml:space="preserve">+8.92%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4.473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6B3A"/>
                <w:sz w:val="17"/>
                <w:szCs w:val="17"/>
              </w:rPr>
              <w:t xml:space="preserve">0.001</w:t>
            </w:r>
          </w:p>
        </w:tc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1.207</w:t>
            </w:r>
          </w:p>
        </w:tc>
        <w:tc>
          <w:tcPr>
            <w:tcW w:type="dxa" w:w="16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8B0000"/>
                <w:sz w:val="17"/>
                <w:szCs w:val="17"/>
              </w:rPr>
              <w:t xml:space="preserve">1.965</w:t>
            </w:r>
          </w:p>
        </w:tc>
      </w:tr>
      <w:tr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AF3DE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17"/>
                <w:szCs w:val="17"/>
              </w:rPr>
              <w:t xml:space="preserve">Nifty 50 (Benchmark)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AF3DE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Index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AF3DE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6B3A"/>
                <w:sz w:val="17"/>
                <w:szCs w:val="17"/>
              </w:rPr>
              <w:t xml:space="preserve">+4.28%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AF3DE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—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AF3DE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—</w:t>
            </w:r>
          </w:p>
        </w:tc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AF3DE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1.000</w:t>
            </w:r>
          </w:p>
        </w:tc>
        <w:tc>
          <w:tcPr>
            <w:tcW w:type="dxa" w:w="16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AF3DE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1.000</w:t>
            </w:r>
          </w:p>
        </w:tc>
      </w:tr>
    </w:tbl>
    <w:p>
      <w:pPr>
        <w:spacing w:after="100" w:before="100"/>
      </w:pPr>
      <w:r>
        <w:rPr>
          <w:sz w:val="18"/>
          <w:szCs w:val="18"/>
        </w:rPr>
        <w:t xml:space="preserve"/>
      </w:r>
    </w:p>
    <w:p>
      <w:pPr>
        <w:pStyle w:val="ListParagraph"/>
        <w:numPr>
          <w:ilvl w:val="0"/>
          <w:numId w:val="2"/>
        </w:numPr>
        <w:spacing w:after="50" w:before="50"/>
      </w:pPr>
      <w:r>
        <w:rPr>
          <w:rFonts w:ascii="Arial" w:cs="Arial" w:eastAsia="Arial" w:hAnsi="Arial"/>
          <w:sz w:val="20"/>
          <w:szCs w:val="20"/>
        </w:rPr>
        <w:t xml:space="preserve">Two wheelers average higher Pre-Diwali returns than four wheelers — Eicher (+9.80%), TVS (+8.92%), Bajaj (+7.42%) vs Maruti (+6.95%), M&amp;M (+9.66%).</w:t>
      </w:r>
    </w:p>
    <w:p>
      <w:pPr>
        <w:pStyle w:val="ListParagraph"/>
        <w:numPr>
          <w:ilvl w:val="0"/>
          <w:numId w:val="2"/>
        </w:numPr>
        <w:spacing w:after="50" w:before="50"/>
      </w:pPr>
      <w:r>
        <w:rPr>
          <w:rFonts w:ascii="Arial" w:cs="Arial" w:eastAsia="Arial" w:hAnsi="Arial"/>
          <w:sz w:val="20"/>
          <w:szCs w:val="20"/>
        </w:rPr>
        <w:t xml:space="preserve">M&amp;M is the standout four-wheeler performer — +9.66% Pre-Diwali — driven by its SUV transformation and new model launch timing around festive season.</w:t>
      </w:r>
    </w:p>
    <w:p>
      <w:pPr>
        <w:pStyle w:val="ListParagraph"/>
        <w:numPr>
          <w:ilvl w:val="0"/>
          <w:numId w:val="2"/>
        </w:numPr>
        <w:spacing w:after="50" w:before="50"/>
      </w:pPr>
      <w:r>
        <w:rPr>
          <w:rFonts w:ascii="Arial" w:cs="Arial" w:eastAsia="Arial" w:hAnsi="Arial"/>
          <w:sz w:val="20"/>
          <w:szCs w:val="20"/>
        </w:rPr>
        <w:t xml:space="preserve">Tata Motors shows highest volatility — Pre-Diwali range from -8.20% (2018) to +28.40% (2020). High beta stock amplifies both positive and negative seasons.</w:t>
      </w:r>
    </w:p>
    <w:p>
      <w:pPr>
        <w:pStyle w:val="ListParagraph"/>
        <w:numPr>
          <w:ilvl w:val="0"/>
          <w:numId w:val="2"/>
        </w:numPr>
        <w:spacing w:after="50" w:before="50"/>
      </w:pPr>
      <w:r>
        <w:rPr>
          <w:rFonts w:ascii="Arial" w:cs="Arial" w:eastAsia="Arial" w:hAnsi="Arial"/>
          <w:sz w:val="20"/>
          <w:szCs w:val="20"/>
        </w:rPr>
        <w:t xml:space="preserve">Hero MotoCorp is the most defensive — lowest Pre-Diwali average (+5.82%) but most consistent positive years. Mass-market rural demand is less cyclically volatile.</w:t>
      </w:r>
    </w:p>
    <w:p>
      <w:pPr>
        <w:spacing w:after="100" w:before="100"/>
      </w:pPr>
      <w:r>
        <w:rPr>
          <w:sz w:val="18"/>
          <w:szCs w:val="18"/>
        </w:rPr>
        <w:t xml:space="preserve"/>
      </w:r>
    </w:p>
    <w:p>
      <w:pPr>
        <w:pBdr>
          <w:bottom w:val="single" w:color="C0392B" w:sz="4" w:space="1"/>
        </w:pBdr>
        <w:spacing w:after="180" w:before="180"/>
      </w:pPr>
      <w:r>
        <w:rPr>
          <w:sz w:val="4"/>
          <w:szCs w:val="4"/>
        </w:rPr>
        <w:t xml:space="preserve"/>
      </w:r>
    </w:p>
    <w:p>
      <w:pPr>
        <w:pStyle w:val="Heading1"/>
        <w:spacing w:after="140" w:before="320"/>
      </w:pPr>
      <w:r>
        <w:rPr>
          <w:rFonts w:ascii="Arial" w:cs="Arial" w:eastAsia="Arial" w:hAnsi="Arial"/>
          <w:b/>
          <w:bCs/>
          <w:color w:val="7B2D00"/>
          <w:sz w:val="38"/>
          <w:szCs w:val="38"/>
        </w:rPr>
        <w:t xml:space="preserve">2. The Critical Difference — Auto vs Paint</w:t>
      </w:r>
    </w:p>
    <w:tbl>
      <w:tblPr>
        <w:tblW w:type="dxa" w:w="135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5680"/>
        <w:gridCol w:w="5680"/>
      </w:tblGrid>
      <w:tr>
        <w:trPr>
          <w:tblHeader/>
        </w:trPr>
        <w:tc>
          <w:tcPr>
            <w:tcW w:type="dxa" w:w="2200"/>
            <w:tcBorders>
              <w:top w:val="single" w:color="7B2D00" w:sz="1"/>
              <w:left w:val="single" w:color="7B2D00" w:sz="1"/>
              <w:bottom w:val="single" w:color="7B2D00" w:sz="1"/>
              <w:right w:val="single" w:color="7B2D00" w:sz="1"/>
            </w:tcBorders>
            <w:shd w:fill="7B2D00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7"/>
                <w:szCs w:val="17"/>
              </w:rPr>
              <w:t xml:space="preserve">Metric</w:t>
            </w:r>
          </w:p>
        </w:tc>
        <w:tc>
          <w:tcPr>
            <w:tcW w:type="dxa" w:w="5680"/>
            <w:tcBorders>
              <w:top w:val="single" w:color="7B2D00" w:sz="1"/>
              <w:left w:val="single" w:color="7B2D00" w:sz="1"/>
              <w:bottom w:val="single" w:color="7B2D00" w:sz="1"/>
              <w:right w:val="single" w:color="7B2D00" w:sz="1"/>
            </w:tcBorders>
            <w:shd w:fill="7B2D00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7"/>
                <w:szCs w:val="17"/>
              </w:rPr>
              <w:t xml:space="preserve">Paint Stocks</w:t>
            </w:r>
          </w:p>
        </w:tc>
        <w:tc>
          <w:tcPr>
            <w:tcW w:type="dxa" w:w="5680"/>
            <w:tcBorders>
              <w:top w:val="single" w:color="7B2D00" w:sz="1"/>
              <w:left w:val="single" w:color="7B2D00" w:sz="1"/>
              <w:bottom w:val="single" w:color="7B2D00" w:sz="1"/>
              <w:right w:val="single" w:color="7B2D00" w:sz="1"/>
            </w:tcBorders>
            <w:shd w:fill="7B2D00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7"/>
                <w:szCs w:val="17"/>
              </w:rPr>
              <w:t xml:space="preserve">Auto Stocks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17"/>
                <w:szCs w:val="17"/>
              </w:rPr>
              <w:t xml:space="preserve">Pre-Diwali alpha</w:t>
            </w:r>
          </w:p>
        </w:tc>
        <w:tc>
          <w:tcPr>
            <w:tcW w:type="dxa" w:w="5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6B3A"/>
                <w:sz w:val="17"/>
                <w:szCs w:val="17"/>
              </w:rPr>
              <w:t xml:space="preserve">Significant — +5.1% to +11.7%</w:t>
            </w:r>
          </w:p>
        </w:tc>
        <w:tc>
          <w:tcPr>
            <w:tcW w:type="dxa" w:w="5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6B3A"/>
                <w:sz w:val="17"/>
                <w:szCs w:val="17"/>
              </w:rPr>
              <w:t xml:space="preserve">Significant — +5.8% to +9.8%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17"/>
                <w:szCs w:val="17"/>
              </w:rPr>
              <w:t xml:space="preserve">Post-Diwali</w:t>
            </w:r>
          </w:p>
        </w:tc>
        <w:tc>
          <w:tcPr>
            <w:tcW w:type="dxa" w:w="5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Not significant — trade priced in early</w:t>
            </w:r>
          </w:p>
        </w:tc>
        <w:tc>
          <w:tcPr>
            <w:tcW w:type="dxa" w:w="5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Not significant — same pattern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17"/>
                <w:szCs w:val="17"/>
              </w:rPr>
              <w:t xml:space="preserve">Beta slope trend</w:t>
            </w:r>
          </w:p>
        </w:tc>
        <w:tc>
          <w:tcPr>
            <w:tcW w:type="dxa" w:w="5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6B3A"/>
                <w:sz w:val="17"/>
                <w:szCs w:val="17"/>
              </w:rPr>
              <w:t xml:space="preserve">NEGATIVE — market getting smarter</w:t>
            </w:r>
          </w:p>
        </w:tc>
        <w:tc>
          <w:tcPr>
            <w:tcW w:type="dxa" w:w="5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8B0000"/>
                <w:sz w:val="17"/>
                <w:szCs w:val="17"/>
              </w:rPr>
              <w:t xml:space="preserve">POSITIVE — trade still intensifying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17"/>
                <w:szCs w:val="17"/>
              </w:rPr>
              <w:t xml:space="preserve">2023-25 beta diff</w:t>
            </w:r>
          </w:p>
        </w:tc>
        <w:tc>
          <w:tcPr>
            <w:tcW w:type="dxa" w:w="5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6B3A"/>
                <w:sz w:val="17"/>
                <w:szCs w:val="17"/>
              </w:rPr>
              <w:t xml:space="preserve">Near zero — alpha gone</w:t>
            </w:r>
          </w:p>
        </w:tc>
        <w:tc>
          <w:tcPr>
            <w:tcW w:type="dxa" w:w="5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8B0000"/>
                <w:sz w:val="17"/>
                <w:szCs w:val="17"/>
              </w:rPr>
              <w:t xml:space="preserve">Still elevated — alpha persists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17"/>
                <w:szCs w:val="17"/>
              </w:rPr>
              <w:t xml:space="preserve">Key risk</w:t>
            </w:r>
          </w:p>
        </w:tc>
        <w:tc>
          <w:tcPr>
            <w:tcW w:type="dxa" w:w="5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Birla Opus competition eating share</w:t>
            </w:r>
          </w:p>
        </w:tc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Semiconductor, EV disruption, rural stress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17"/>
                <w:szCs w:val="17"/>
              </w:rPr>
              <w:t xml:space="preserve">Trade status</w:t>
            </w:r>
          </w:p>
        </w:tc>
        <w:tc>
          <w:tcPr>
            <w:tcW w:type="dxa" w:w="5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8B0000"/>
                <w:sz w:val="17"/>
                <w:szCs w:val="17"/>
              </w:rPr>
              <w:t xml:space="preserve">Arbitraged away — use Nifty ETF instead</w:t>
            </w:r>
          </w:p>
        </w:tc>
        <w:tc>
          <w:tcPr>
            <w:tcW w:type="dxa" w:w="5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6B3A"/>
                <w:sz w:val="17"/>
                <w:szCs w:val="17"/>
              </w:rPr>
              <w:t xml:space="preserve">Still active — sector concentration justified</w:t>
            </w:r>
          </w:p>
        </w:tc>
      </w:tr>
    </w:tbl>
    <w:p>
      <w:pPr>
        <w:spacing w:after="100" w:before="100"/>
      </w:pPr>
      <w:r>
        <w:rPr>
          <w:sz w:val="18"/>
          <w:szCs w:val="18"/>
        </w:rPr>
        <w:t xml:space="preserve"/>
      </w:r>
    </w:p>
    <w:p>
      <w:pPr>
        <w:pBdr>
          <w:bottom w:val="single" w:color="C0392B" w:sz="4" w:space="1"/>
        </w:pBdr>
        <w:spacing w:after="180" w:before="180"/>
      </w:pPr>
      <w:r>
        <w:rPr>
          <w:sz w:val="4"/>
          <w:szCs w:val="4"/>
        </w:rPr>
        <w:t xml:space="preserve"/>
      </w:r>
    </w:p>
    <w:p>
      <w:pPr>
        <w:pStyle w:val="Heading1"/>
        <w:spacing w:after="140" w:before="320"/>
      </w:pPr>
      <w:r>
        <w:rPr>
          <w:rFonts w:ascii="Arial" w:cs="Arial" w:eastAsia="Arial" w:hAnsi="Arial"/>
          <w:b/>
          <w:bCs/>
          <w:color w:val="7B2D00"/>
          <w:sz w:val="38"/>
          <w:szCs w:val="38"/>
        </w:rPr>
        <w:t xml:space="preserve">3. Why Auto is Different from Paint</w:t>
      </w:r>
    </w:p>
    <w:p>
      <w:pPr>
        <w:pStyle w:val="Heading2"/>
        <w:spacing w:after="100" w:before="220"/>
      </w:pPr>
      <w:r>
        <w:rPr>
          <w:rFonts w:ascii="Arial" w:cs="Arial" w:eastAsia="Arial" w:hAnsi="Arial"/>
          <w:b/>
          <w:bCs/>
          <w:color w:val="C0392B"/>
          <w:sz w:val="26"/>
          <w:szCs w:val="26"/>
        </w:rPr>
        <w:t xml:space="preserve">3.1 The Demand Cycle is Stronger and More Visible</w:t>
      </w:r>
    </w:p>
    <w:p>
      <w:pPr>
        <w:pStyle w:val="ListParagraph"/>
        <w:numPr>
          <w:ilvl w:val="0"/>
          <w:numId w:val="2"/>
        </w:numPr>
        <w:spacing w:after="50" w:before="50"/>
      </w:pPr>
      <w:r>
        <w:rPr>
          <w:rFonts w:ascii="Arial" w:cs="Arial" w:eastAsia="Arial" w:hAnsi="Arial"/>
          <w:sz w:val="20"/>
          <w:szCs w:val="20"/>
        </w:rPr>
        <w:t xml:space="preserve">Paint demand at Diwali is diffuse — people renovate homes across a wide window. Auto demand at Diwali is concentrated and measurable — SIAM publishes monthly wholesale volumes and retail data is available through dealer associations.</w:t>
      </w:r>
    </w:p>
    <w:p>
      <w:pPr>
        <w:pStyle w:val="ListParagraph"/>
        <w:numPr>
          <w:ilvl w:val="0"/>
          <w:numId w:val="2"/>
        </w:numPr>
        <w:spacing w:after="50" w:before="50"/>
      </w:pPr>
      <w:r>
        <w:rPr>
          <w:rFonts w:ascii="Arial" w:cs="Arial" w:eastAsia="Arial" w:hAnsi="Arial"/>
          <w:sz w:val="20"/>
          <w:szCs w:val="20"/>
        </w:rPr>
        <w:t xml:space="preserve">OEMs deliberately time new model launches to Diwali — Maruti launches updated variants, M&amp;M revealed XUV 700 and Thar Roxx ahead of festive season, TVS and Bajaj release new two-wheeler variants. This creates genuine news flow that drives stock movement independently of just sentiment.</w:t>
      </w:r>
    </w:p>
    <w:p>
      <w:pPr>
        <w:pStyle w:val="ListParagraph"/>
        <w:numPr>
          <w:ilvl w:val="0"/>
          <w:numId w:val="2"/>
        </w:numPr>
        <w:spacing w:after="50" w:before="50"/>
      </w:pPr>
      <w:r>
        <w:rPr>
          <w:rFonts w:ascii="Arial" w:cs="Arial" w:eastAsia="Arial" w:hAnsi="Arial"/>
          <w:sz w:val="20"/>
          <w:szCs w:val="20"/>
        </w:rPr>
        <w:t xml:space="preserve">Festive financing schemes — zero-down-payment offers, low EMI schemes, extended warranties — are industry-wide and amplify retail demand in a concentrated window that is directly trackable.</w:t>
      </w:r>
    </w:p>
    <w:p>
      <w:pPr>
        <w:spacing w:after="100" w:before="100"/>
      </w:pPr>
      <w:r>
        <w:rPr>
          <w:sz w:val="18"/>
          <w:szCs w:val="18"/>
        </w:rPr>
        <w:t xml:space="preserve"/>
      </w:r>
    </w:p>
    <w:p>
      <w:pPr>
        <w:pStyle w:val="Heading2"/>
        <w:spacing w:after="100" w:before="220"/>
      </w:pPr>
      <w:r>
        <w:rPr>
          <w:rFonts w:ascii="Arial" w:cs="Arial" w:eastAsia="Arial" w:hAnsi="Arial"/>
          <w:b/>
          <w:bCs/>
          <w:color w:val="C0392B"/>
          <w:sz w:val="26"/>
          <w:szCs w:val="26"/>
        </w:rPr>
        <w:t xml:space="preserve">3.2 The Rural Demand Story is Unique to Auto</w:t>
      </w:r>
    </w:p>
    <w:p>
      <w:pPr>
        <w:pStyle w:val="ListParagraph"/>
        <w:numPr>
          <w:ilvl w:val="0"/>
          <w:numId w:val="2"/>
        </w:numPr>
        <w:spacing w:after="50" w:before="50"/>
      </w:pPr>
      <w:r>
        <w:rPr>
          <w:rFonts w:ascii="Arial" w:cs="Arial" w:eastAsia="Arial" w:hAnsi="Arial"/>
          <w:sz w:val="20"/>
          <w:szCs w:val="20"/>
        </w:rPr>
        <w:t xml:space="preserve">Two-wheeler festive demand is heavily rural — tied to kharif harvest cash flows. When harvest is good, rural buyers buy two wheelers at Diwali. This is a fundamental cash-flow-driven demand cycle not present in paint or most other sectors.</w:t>
      </w:r>
    </w:p>
    <w:p>
      <w:pPr>
        <w:pStyle w:val="ListParagraph"/>
        <w:numPr>
          <w:ilvl w:val="0"/>
          <w:numId w:val="2"/>
        </w:numPr>
        <w:spacing w:after="50" w:before="50"/>
      </w:pPr>
      <w:r>
        <w:rPr>
          <w:rFonts w:ascii="Arial" w:cs="Arial" w:eastAsia="Arial" w:hAnsi="Arial"/>
          <w:sz w:val="20"/>
          <w:szCs w:val="20"/>
        </w:rPr>
        <w:t xml:space="preserve">This rural harvest-to-Diwali linkage makes the auto seasonal pattern structurally harder to arbitrage — it is not just sentiment, it is real underlying demand that repeats every year.</w:t>
      </w:r>
    </w:p>
    <w:p>
      <w:pPr>
        <w:spacing w:after="100" w:before="100"/>
      </w:pPr>
      <w:r>
        <w:rPr>
          <w:sz w:val="18"/>
          <w:szCs w:val="18"/>
        </w:rPr>
        <w:t xml:space="preserve"/>
      </w:r>
    </w:p>
    <w:p>
      <w:pPr>
        <w:pStyle w:val="Heading2"/>
        <w:spacing w:after="100" w:before="220"/>
      </w:pPr>
      <w:r>
        <w:rPr>
          <w:rFonts w:ascii="Arial" w:cs="Arial" w:eastAsia="Arial" w:hAnsi="Arial"/>
          <w:b/>
          <w:bCs/>
          <w:color w:val="C0392B"/>
          <w:sz w:val="26"/>
          <w:szCs w:val="26"/>
        </w:rPr>
        <w:t xml:space="preserve">3.3 Why the Trade is Still Growing</w:t>
      </w:r>
    </w:p>
    <w:p>
      <w:pPr>
        <w:pStyle w:val="ListParagraph"/>
        <w:numPr>
          <w:ilvl w:val="0"/>
          <w:numId w:val="2"/>
        </w:numPr>
        <w:spacing w:after="50" w:before="50"/>
      </w:pPr>
      <w:r>
        <w:rPr>
          <w:rFonts w:ascii="Arial" w:cs="Arial" w:eastAsia="Arial" w:hAnsi="Arial"/>
          <w:sz w:val="20"/>
          <w:szCs w:val="20"/>
        </w:rPr>
        <w:t xml:space="preserve">Institutional participation in festive-season auto positioning has increased — FIIs and domestic funds have learned to front-run the festive volume data by accumulating positions in September-October.</w:t>
      </w:r>
    </w:p>
    <w:p>
      <w:pPr>
        <w:pStyle w:val="ListParagraph"/>
        <w:numPr>
          <w:ilvl w:val="0"/>
          <w:numId w:val="2"/>
        </w:numPr>
        <w:spacing w:after="50" w:before="50"/>
      </w:pPr>
      <w:r>
        <w:rPr>
          <w:rFonts w:ascii="Arial" w:cs="Arial" w:eastAsia="Arial" w:hAnsi="Arial"/>
          <w:sz w:val="20"/>
          <w:szCs w:val="20"/>
        </w:rPr>
        <w:t xml:space="preserve">Social media and financial influencer coverage of 'auto Diwali picks' has grown massively since 2020, bringing more retail money into the trade each year.</w:t>
      </w:r>
    </w:p>
    <w:p>
      <w:pPr>
        <w:pStyle w:val="ListParagraph"/>
        <w:numPr>
          <w:ilvl w:val="0"/>
          <w:numId w:val="2"/>
        </w:numPr>
        <w:spacing w:after="50" w:before="50"/>
      </w:pPr>
      <w:r>
        <w:rPr>
          <w:rFonts w:ascii="Arial" w:cs="Arial" w:eastAsia="Arial" w:hAnsi="Arial"/>
          <w:sz w:val="20"/>
          <w:szCs w:val="20"/>
        </w:rPr>
        <w:t xml:space="preserve">EV narrative adds a new layer — Tata Motors and M&amp;M EV sales spikes around Diwali create additional momentum trading on top of the fundamental seasonal demand.</w:t>
      </w:r>
    </w:p>
    <w:p>
      <w:pPr>
        <w:spacing w:after="100" w:before="100"/>
      </w:pPr>
      <w:r>
        <w:rPr>
          <w:sz w:val="18"/>
          <w:szCs w:val="18"/>
        </w:rPr>
        <w:t xml:space="preserve"/>
      </w:r>
    </w:p>
    <w:p>
      <w:pPr>
        <w:pBdr>
          <w:bottom w:val="single" w:color="C0392B" w:sz="4" w:space="1"/>
        </w:pBdr>
        <w:spacing w:after="180" w:before="180"/>
      </w:pPr>
      <w:r>
        <w:rPr>
          <w:sz w:val="4"/>
          <w:szCs w:val="4"/>
        </w:rPr>
        <w:t xml:space="preserve"/>
      </w:r>
    </w:p>
    <w:p>
      <w:pPr>
        <w:pStyle w:val="Heading1"/>
        <w:spacing w:after="140" w:before="320"/>
      </w:pPr>
      <w:r>
        <w:rPr>
          <w:rFonts w:ascii="Arial" w:cs="Arial" w:eastAsia="Arial" w:hAnsi="Arial"/>
          <w:b/>
          <w:bCs/>
          <w:color w:val="7B2D00"/>
          <w:sz w:val="38"/>
          <w:szCs w:val="38"/>
        </w:rPr>
        <w:t xml:space="preserve">4. Two Wheeler vs Four Wheeler — Which is Better?</w:t>
      </w:r>
    </w:p>
    <w:tbl>
      <w:tblPr>
        <w:tblW w:type="dxa" w:w="135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5680"/>
        <w:gridCol w:w="5680"/>
      </w:tblGrid>
      <w:tr>
        <w:trPr>
          <w:tblHeader/>
        </w:trPr>
        <w:tc>
          <w:tcPr>
            <w:tcW w:type="dxa" w:w="2200"/>
            <w:tcBorders>
              <w:top w:val="single" w:color="7B2D00" w:sz="1"/>
              <w:left w:val="single" w:color="7B2D00" w:sz="1"/>
              <w:bottom w:val="single" w:color="7B2D00" w:sz="1"/>
              <w:right w:val="single" w:color="7B2D00" w:sz="1"/>
            </w:tcBorders>
            <w:shd w:fill="7B2D00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7"/>
                <w:szCs w:val="17"/>
              </w:rPr>
              <w:t xml:space="preserve">Factor</w:t>
            </w:r>
          </w:p>
        </w:tc>
        <w:tc>
          <w:tcPr>
            <w:tcW w:type="dxa" w:w="5680"/>
            <w:tcBorders>
              <w:top w:val="single" w:color="7B2D00" w:sz="1"/>
              <w:left w:val="single" w:color="7B2D00" w:sz="1"/>
              <w:bottom w:val="single" w:color="7B2D00" w:sz="1"/>
              <w:right w:val="single" w:color="7B2D00" w:sz="1"/>
            </w:tcBorders>
            <w:shd w:fill="7B2D00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7"/>
                <w:szCs w:val="17"/>
              </w:rPr>
              <w:t xml:space="preserve">Two Wheelers (TVS, Bajaj, Hero, Eicher)</w:t>
            </w:r>
          </w:p>
        </w:tc>
        <w:tc>
          <w:tcPr>
            <w:tcW w:type="dxa" w:w="5680"/>
            <w:tcBorders>
              <w:top w:val="single" w:color="7B2D00" w:sz="1"/>
              <w:left w:val="single" w:color="7B2D00" w:sz="1"/>
              <w:bottom w:val="single" w:color="7B2D00" w:sz="1"/>
              <w:right w:val="single" w:color="7B2D00" w:sz="1"/>
            </w:tcBorders>
            <w:shd w:fill="7B2D00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7"/>
                <w:szCs w:val="17"/>
              </w:rPr>
              <w:t xml:space="preserve">Four Wheelers (Maruti, Tata, M&amp;M, Ashok)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17"/>
                <w:szCs w:val="17"/>
              </w:rPr>
              <w:t xml:space="preserve">Avg Pre-Diwali%</w:t>
            </w:r>
          </w:p>
        </w:tc>
        <w:tc>
          <w:tcPr>
            <w:tcW w:type="dxa" w:w="5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6B3A"/>
                <w:sz w:val="17"/>
                <w:szCs w:val="17"/>
              </w:rPr>
              <w:t xml:space="preserve">+7.99% average</w:t>
            </w:r>
          </w:p>
        </w:tc>
        <w:tc>
          <w:tcPr>
            <w:tcW w:type="dxa" w:w="5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6B3A"/>
                <w:sz w:val="17"/>
                <w:szCs w:val="17"/>
              </w:rPr>
              <w:t xml:space="preserve">+8.70% average (driven by M&amp;M, Tata)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17"/>
                <w:szCs w:val="17"/>
              </w:rPr>
              <w:t xml:space="preserve">Consistency</w:t>
            </w:r>
          </w:p>
        </w:tc>
        <w:tc>
          <w:tcPr>
            <w:tcW w:type="dxa" w:w="5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6B3A"/>
                <w:sz w:val="17"/>
                <w:szCs w:val="17"/>
              </w:rPr>
              <w:t xml:space="preserve">Higher — rural harvest cycle predictable</w:t>
            </w:r>
          </w:p>
        </w:tc>
        <w:tc>
          <w:tcPr>
            <w:tcW w:type="dxa" w:w="5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Lower — more macro sensitive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17"/>
                <w:szCs w:val="17"/>
              </w:rPr>
              <w:t xml:space="preserve">Beta level</w:t>
            </w:r>
          </w:p>
        </w:tc>
        <w:tc>
          <w:tcPr>
            <w:tcW w:type="dxa" w:w="5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Moderate (0.6–1.8 annual)</w:t>
            </w:r>
          </w:p>
        </w:tc>
        <w:tc>
          <w:tcPr>
            <w:tcW w:type="dxa" w:w="5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High (0.9–2.1 annual, Tata very high)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17"/>
                <w:szCs w:val="17"/>
              </w:rPr>
              <w:t xml:space="preserve">Rising beta?</w:t>
            </w:r>
          </w:p>
        </w:tc>
        <w:tc>
          <w:tcPr>
            <w:tcW w:type="dxa" w:w="5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8B0000"/>
                <w:sz w:val="17"/>
                <w:szCs w:val="17"/>
              </w:rPr>
              <w:t xml:space="preserve">Yes — trade intensifying</w:t>
            </w:r>
          </w:p>
        </w:tc>
        <w:tc>
          <w:tcPr>
            <w:tcW w:type="dxa" w:w="5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Mixed — M&amp;M rising, Tata flat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17"/>
                <w:szCs w:val="17"/>
              </w:rPr>
              <w:t xml:space="preserve">EV risk</w:t>
            </w:r>
          </w:p>
        </w:tc>
        <w:tc>
          <w:tcPr>
            <w:tcW w:type="dxa" w:w="5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8B0000"/>
                <w:sz w:val="17"/>
                <w:szCs w:val="17"/>
              </w:rPr>
              <w:t xml:space="preserve">Growing — Ola, Ather disrupting</w:t>
            </w:r>
          </w:p>
        </w:tc>
        <w:tc>
          <w:tcPr>
            <w:tcW w:type="dxa" w:w="5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6B3A"/>
                <w:sz w:val="17"/>
                <w:szCs w:val="17"/>
              </w:rPr>
              <w:t xml:space="preserve">Opportunity for Tata, M&amp;M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17"/>
                <w:szCs w:val="17"/>
              </w:rPr>
              <w:t xml:space="preserve">Best pick</w:t>
            </w:r>
          </w:p>
        </w:tc>
        <w:tc>
          <w:tcPr>
            <w:tcW w:type="dxa" w:w="5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6B3A"/>
                <w:sz w:val="17"/>
                <w:szCs w:val="17"/>
              </w:rPr>
              <w:t xml:space="preserve">TVS Motor — consistent, diversified, rising</w:t>
            </w:r>
          </w:p>
        </w:tc>
        <w:tc>
          <w:tcPr>
            <w:tcW w:type="dxa" w:w="5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6B3A"/>
                <w:sz w:val="17"/>
                <w:szCs w:val="17"/>
              </w:rPr>
              <w:t xml:space="preserve">M&amp;M — SUV story, new launches, strong alpha</w:t>
            </w:r>
          </w:p>
        </w:tc>
      </w:tr>
    </w:tbl>
    <w:p>
      <w:pPr>
        <w:spacing w:after="100" w:before="100"/>
      </w:pPr>
      <w:r>
        <w:rPr>
          <w:sz w:val="18"/>
          <w:szCs w:val="18"/>
        </w:rPr>
        <w:t xml:space="preserve"/>
      </w:r>
    </w:p>
    <w:p>
      <w:pPr>
        <w:pBdr>
          <w:bottom w:val="single" w:color="C0392B" w:sz="4" w:space="1"/>
        </w:pBdr>
        <w:spacing w:after="180" w:before="180"/>
      </w:pPr>
      <w:r>
        <w:rPr>
          <w:sz w:val="4"/>
          <w:szCs w:val="4"/>
        </w:rPr>
        <w:t xml:space="preserve"/>
      </w:r>
    </w:p>
    <w:p>
      <w:pPr>
        <w:pStyle w:val="Heading1"/>
        <w:spacing w:after="140" w:before="320"/>
      </w:pPr>
      <w:r>
        <w:rPr>
          <w:rFonts w:ascii="Arial" w:cs="Arial" w:eastAsia="Arial" w:hAnsi="Arial"/>
          <w:b/>
          <w:bCs/>
          <w:color w:val="7B2D00"/>
          <w:sz w:val="38"/>
          <w:szCs w:val="38"/>
        </w:rPr>
        <w:t xml:space="preserve">5. Final Verdict</w:t>
      </w:r>
    </w:p>
    <w:p>
      <w:pPr>
        <w:spacing w:after="100" w:before="100"/>
      </w:pPr>
      <w:r>
        <w:rPr>
          <w:sz w:val="18"/>
          <w:szCs w:val="18"/>
        </w:rPr>
        <w:t xml:space="preserve"/>
      </w:r>
    </w:p>
    <w:p>
      <w:pPr>
        <w:pBdr>
          <w:top w:val="single" w:color="C0392B" w:sz="6" w:space="80"/>
          <w:bottom w:val="single" w:color="C0392B" w:sz="6" w:space="80"/>
          <w:left w:val="single" w:color="C0392B" w:sz="18" w:space="200"/>
          <w:right w:val="single" w:color="C0392B" w:sz="6" w:space="80"/>
        </w:pBdr>
        <w:spacing w:after="100" w:before="100"/>
      </w:pPr>
      <w:r>
        <w:rPr>
          <w:rFonts w:ascii="Arial" w:cs="Arial" w:eastAsia="Arial" w:hAnsi="Arial"/>
          <w:color w:val="7B2D00"/>
          <w:sz w:val="21"/>
          <w:szCs w:val="21"/>
        </w:rPr>
        <w:t xml:space="preserve">The Diwali seasonal pattern in Indian automobile stocks is REAL, STATISTICALLY PROVEN, and — unlike paint stocks — has NOT been arbitraged away. The Pre-Diwali trade in auto stocks remains active and is actually INTENSIFYING, particularly in two wheelers and M&amp;M. The structural reasons are clear: real fundamental demand from rural harvest cycles, OEM model launch timing, festive financing schemes, and EV narrative trading. This is not just sentiment — it is a repeating fundamental demand cycle that the market is still learning to fully price in.</w:t>
      </w:r>
    </w:p>
    <w:p>
      <w:pPr>
        <w:spacing w:after="100" w:before="100"/>
      </w:pPr>
      <w:r>
        <w:rPr>
          <w:sz w:val="18"/>
          <w:szCs w:val="18"/>
        </w:rPr>
        <w:t xml:space="preserve"/>
      </w:r>
    </w:p>
    <w:p>
      <w:pPr>
        <w:spacing w:after="80" w:before="80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222222"/>
          <w:sz w:val="20"/>
          <w:szCs w:val="20"/>
        </w:rPr>
        <w:t xml:space="preserve">Key statistics:</w:t>
      </w:r>
    </w:p>
    <w:p>
      <w:pPr>
        <w:pStyle w:val="ListParagraph"/>
        <w:numPr>
          <w:ilvl w:val="0"/>
          <w:numId w:val="2"/>
        </w:numPr>
        <w:spacing w:after="50" w:before="50"/>
      </w:pPr>
      <w:r>
        <w:rPr>
          <w:rFonts w:ascii="Arial" w:cs="Arial" w:eastAsia="Arial" w:hAnsi="Arial"/>
          <w:sz w:val="20"/>
          <w:szCs w:val="20"/>
        </w:rPr>
        <w:t xml:space="preserve">8 stocks  |  12 years  |  4 return windows  |  2 statistical tests  |  All 8 significant</w:t>
      </w:r>
    </w:p>
    <w:p>
      <w:pPr>
        <w:pStyle w:val="ListParagraph"/>
        <w:numPr>
          <w:ilvl w:val="0"/>
          <w:numId w:val="2"/>
        </w:numPr>
        <w:spacing w:after="50" w:before="50"/>
      </w:pPr>
      <w:r>
        <w:rPr>
          <w:rFonts w:ascii="Arial" w:cs="Arial" w:eastAsia="Arial" w:hAnsi="Arial"/>
          <w:sz w:val="20"/>
          <w:szCs w:val="20"/>
        </w:rPr>
        <w:t xml:space="preserve">Pre-Diwali range: +5.82% to +9.80%  |  Nifty benchmark: +4.28%</w:t>
      </w:r>
    </w:p>
    <w:p>
      <w:pPr>
        <w:pStyle w:val="ListParagraph"/>
        <w:numPr>
          <w:ilvl w:val="0"/>
          <w:numId w:val="2"/>
        </w:numPr>
        <w:spacing w:after="50" w:before="50"/>
      </w:pPr>
      <w:r>
        <w:rPr>
          <w:rFonts w:ascii="Arial" w:cs="Arial" w:eastAsia="Arial" w:hAnsi="Arial"/>
          <w:sz w:val="20"/>
          <w:szCs w:val="20"/>
        </w:rPr>
        <w:t xml:space="preserve">All 8 Post-Diwali: NOT significant  |  7 of 8 beta slopes: POSITIVE (rising)</w:t>
      </w:r>
    </w:p>
    <w:p>
      <w:pPr>
        <w:pStyle w:val="ListParagraph"/>
        <w:numPr>
          <w:ilvl w:val="0"/>
          <w:numId w:val="2"/>
        </w:numPr>
        <w:spacing w:after="50" w:before="50"/>
      </w:pPr>
      <w:r>
        <w:rPr>
          <w:rFonts w:ascii="Arial" w:cs="Arial" w:eastAsia="Arial" w:hAnsi="Arial"/>
          <w:sz w:val="20"/>
          <w:szCs w:val="20"/>
        </w:rPr>
        <w:t xml:space="preserve">Best four-wheeler: M&amp;M (+9.66%)  |  Best two-wheeler: Eicher (+9.80%)</w:t>
      </w:r>
    </w:p>
    <w:p>
      <w:pPr>
        <w:pStyle w:val="ListParagraph"/>
        <w:numPr>
          <w:ilvl w:val="0"/>
          <w:numId w:val="2"/>
        </w:numPr>
        <w:spacing w:after="50" w:before="50"/>
      </w:pPr>
      <w:r>
        <w:rPr>
          <w:rFonts w:ascii="Arial" w:cs="Arial" w:eastAsia="Arial" w:hAnsi="Arial"/>
          <w:sz w:val="20"/>
          <w:szCs w:val="20"/>
        </w:rPr>
        <w:t xml:space="preserve">Key risk year: 2019 (auto slowdown) and 2021 (chip shortage)</w:t>
      </w:r>
    </w:p>
    <w:p>
      <w:pPr>
        <w:spacing w:after="100" w:before="100"/>
      </w:pPr>
      <w:r>
        <w:rPr>
          <w:sz w:val="18"/>
          <w:szCs w:val="18"/>
        </w:rPr>
        <w:t xml:space="preserve"/>
      </w:r>
    </w:p>
    <w:p>
      <w:pPr>
        <w:spacing w:after="80" w:before="80"/>
        <w:jc w:val="center"/>
      </w:pPr>
      <w:r>
        <w:rPr>
          <w:rFonts w:ascii="Arial" w:cs="Arial" w:eastAsia="Arial" w:hAnsi="Arial"/>
          <w:b w:val="false"/>
          <w:bCs w:val="false"/>
          <w:i/>
          <w:iCs/>
          <w:color w:val="888888"/>
          <w:sz w:val="20"/>
          <w:szCs w:val="20"/>
        </w:rPr>
        <w:t xml:space="preserve">— End of Executive Summary —</w:t>
      </w:r>
    </w:p>
    <w:p>
      <w:pPr>
        <w:spacing w:after="80" w:before="80"/>
        <w:jc w:val="center"/>
      </w:pPr>
      <w:r>
        <w:rPr>
          <w:rFonts w:ascii="Arial" w:cs="Arial" w:eastAsia="Arial" w:hAnsi="Arial"/>
          <w:b w:val="false"/>
          <w:bCs w:val="false"/>
          <w:i/>
          <w:iCs/>
          <w:color w:val="888888"/>
          <w:sz w:val="17"/>
          <w:szCs w:val="17"/>
        </w:rPr>
        <w:t xml:space="preserve">Kamal Arora  |  CFA Level II  |  HSBC 14 Years  |  Educational Use Only</w:t>
      </w:r>
    </w:p>
    <w:sectPr>
      <w:headerReference w:type="default" r:id="rId7"/>
      <w:footerReference w:type="default" r:id="rId8"/>
      <w:pgSz w:w="15840" w:h="12240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7B2D00" w:sz="4" w:space="1"/>
      </w:pBdr>
      <w:jc w:val="center"/>
    </w:pPr>
    <w:r>
      <w:rPr>
        <w:rFonts w:ascii="Arial" w:cs="Arial" w:eastAsia="Arial" w:hAnsi="Arial"/>
        <w:color w:val="888888"/>
        <w:sz w:val="16"/>
        <w:szCs w:val="16"/>
      </w:rPr>
      <w:t xml:space="preserve">For educational and research purposes only. Not investment advice.  |  Page </w:t>
    </w:r>
    <w:fldSimple w:instr="PAGE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7B2D00" w:sz="4" w:space="1"/>
      </w:pBdr>
      <w:jc w:val="right"/>
    </w:pPr>
    <w:r>
      <w:rPr>
        <w:rFonts w:ascii="Arial" w:cs="Arial" w:eastAsia="Arial" w:hAnsi="Arial"/>
        <w:color w:val="666666"/>
        <w:sz w:val="16"/>
        <w:szCs w:val="16"/>
      </w:rPr>
      <w:t xml:space="preserve">Diwali Seasonality — Indian Automobile Stocks 2014–2025  |  Executive Summary  |  Kamal Arora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40" w:before="320"/>
      <w:outlineLvl w:val="0"/>
    </w:pPr>
    <w:rPr>
      <w:rFonts w:ascii="Arial" w:cs="Arial" w:eastAsia="Arial" w:hAnsi="Arial"/>
      <w:b/>
      <w:bCs/>
      <w:color w:val="7B2D00"/>
      <w:sz w:val="38"/>
      <w:szCs w:val="38"/>
    </w:rPr>
  </w:style>
  <w:style w:type="paragraph" w:styleId="Heading2">
    <w:name w:val="Heading 2"/>
    <w:basedOn w:val="Normal"/>
    <w:next w:val="Normal"/>
    <w:qFormat/>
    <w:pPr>
      <w:spacing w:after="100" w:before="220"/>
      <w:outlineLvl w:val="1"/>
    </w:pPr>
    <w:rPr>
      <w:rFonts w:ascii="Arial" w:cs="Arial" w:eastAsia="Arial" w:hAnsi="Arial"/>
      <w:b/>
      <w:bCs/>
      <w:color w:val="C0392B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2026-06-16T09:50:26.436Z</dcterms:created>
  <dcterms:modified xsi:type="dcterms:W3CDTF">2026-06-16T09:50:26.436Z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